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after="156" w:afterLines="50"/>
        <w:jc w:val="center"/>
        <w:rPr>
          <w:rFonts w:hint="eastAsia" w:ascii="微软雅黑" w:hAnsi="微软雅黑" w:eastAsia="微软雅黑" w:cs="Arial"/>
          <w:b/>
          <w:color w:val="0000FF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FF"/>
          <w:sz w:val="44"/>
          <w:szCs w:val="44"/>
        </w:rPr>
        <w:t xml:space="preserve">International Conference </w:t>
      </w:r>
    </w:p>
    <w:p>
      <w:pPr>
        <w:snapToGrid w:val="0"/>
        <w:spacing w:line="360" w:lineRule="auto"/>
        <w:jc w:val="center"/>
        <w:rPr>
          <w:rFonts w:hint="eastAsia" w:ascii="微软雅黑" w:hAnsi="微软雅黑" w:eastAsia="微软雅黑" w:cs="Arial"/>
          <w:b/>
          <w:color w:val="0000FF"/>
          <w:sz w:val="44"/>
          <w:szCs w:val="44"/>
        </w:rPr>
      </w:pPr>
      <w:r>
        <w:rPr>
          <w:rFonts w:hint="eastAsia" w:ascii="微软雅黑" w:hAnsi="微软雅黑" w:eastAsia="微软雅黑" w:cs="Arial"/>
          <w:b/>
          <w:color w:val="0000FF"/>
          <w:sz w:val="44"/>
          <w:szCs w:val="44"/>
        </w:rPr>
        <w:t>on Immunology and Microbiology</w:t>
      </w:r>
    </w:p>
    <w:p>
      <w:pPr>
        <w:snapToGrid w:val="0"/>
        <w:spacing w:line="360" w:lineRule="auto"/>
        <w:jc w:val="center"/>
        <w:rPr>
          <w:rFonts w:hint="eastAsia" w:ascii="微软雅黑" w:hAnsi="微软雅黑" w:eastAsia="微软雅黑" w:cs="Arial"/>
          <w:b/>
          <w:color w:val="0000FF"/>
          <w:sz w:val="44"/>
          <w:szCs w:val="44"/>
        </w:rPr>
      </w:pPr>
      <w:r>
        <w:rPr>
          <w:rFonts w:ascii="微软雅黑" w:hAnsi="微软雅黑" w:eastAsia="微软雅黑" w:cs="Arial"/>
          <w:b/>
          <w:color w:val="0000FF"/>
          <w:sz w:val="44"/>
          <w:szCs w:val="44"/>
        </w:rPr>
        <w:t>201</w:t>
      </w:r>
      <w:r>
        <w:rPr>
          <w:rFonts w:hint="eastAsia" w:ascii="微软雅黑" w:hAnsi="微软雅黑" w:eastAsia="微软雅黑" w:cs="Arial"/>
          <w:b/>
          <w:color w:val="0000FF"/>
          <w:sz w:val="44"/>
          <w:szCs w:val="44"/>
        </w:rPr>
        <w:t xml:space="preserve">4 </w:t>
      </w:r>
    </w:p>
    <w:p>
      <w:pPr>
        <w:spacing w:line="280" w:lineRule="exact"/>
        <w:rPr>
          <w:rFonts w:ascii="Arial" w:hAnsi="Arial" w:cs="Arial"/>
          <w:szCs w:val="21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直接箭头连接符 7" o:spid="_x0000_s1026" type="#_x0000_t32" style="position:absolute;left:0;flip:y;margin-left:6pt;margin-top:10.7pt;height:1.5pt;width:414.75pt;rotation:0f;z-index:251658240;" o:ole="f" fillcolor="#FFFFFF" filled="t" o:preferrelative="t" stroked="t" coordorigin="0,0" coordsize="21600,21600">
            <v:stroke weight="5pt" color="#4E6128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spacing w:line="280" w:lineRule="exact"/>
        <w:jc w:val="center"/>
        <w:rPr>
          <w:rFonts w:ascii="Arial" w:hAnsi="Arial" w:cs="Arial"/>
          <w:szCs w:val="21"/>
        </w:rPr>
      </w:pPr>
    </w:p>
    <w:p>
      <w:pPr>
        <w:spacing w:line="276" w:lineRule="auto"/>
        <w:jc w:val="center"/>
        <w:rPr>
          <w:rFonts w:hint="eastAsia" w:ascii="微软雅黑" w:hAnsi="微软雅黑" w:eastAsia="微软雅黑" w:cs="Arial"/>
          <w:b/>
          <w:sz w:val="44"/>
          <w:szCs w:val="44"/>
          <w:u w:val="thick"/>
        </w:rPr>
      </w:pPr>
      <w:r>
        <w:rPr>
          <w:rFonts w:ascii="微软雅黑" w:hAnsi="微软雅黑" w:eastAsia="微软雅黑" w:cs="Arial"/>
          <w:b/>
          <w:sz w:val="44"/>
          <w:szCs w:val="44"/>
          <w:u w:val="thick"/>
        </w:rPr>
        <w:t>Organizer</w:t>
      </w:r>
    </w:p>
    <w:p>
      <w:pPr>
        <w:spacing w:line="240" w:lineRule="exact"/>
        <w:jc w:val="center"/>
        <w:rPr>
          <w:rFonts w:ascii="微软雅黑" w:hAnsi="微软雅黑" w:eastAsia="微软雅黑" w:cs="Arial"/>
          <w:b/>
          <w:sz w:val="44"/>
          <w:szCs w:val="44"/>
          <w:u w:val="thick"/>
        </w:rPr>
      </w:pPr>
    </w:p>
    <w:p>
      <w:pPr>
        <w:snapToGrid w:val="0"/>
        <w:spacing w:line="280" w:lineRule="exact"/>
        <w:jc w:val="center"/>
        <w:rPr>
          <w:rFonts w:hint="eastAsia" w:ascii="楷体" w:hAnsi="楷体" w:eastAsia="楷体" w:cs="Arial"/>
          <w:b/>
          <w:sz w:val="28"/>
          <w:szCs w:val="21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Malgun Gothic" w:hAnsi="Malgun Gothic" w:cs="BrowalliaUPC"/>
          <w:b/>
          <w:color w:val="008080"/>
          <w:sz w:val="28"/>
          <w:szCs w:val="28"/>
        </w:rPr>
      </w:pPr>
      <w:r>
        <w:rPr>
          <w:rFonts w:hint="eastAsia" w:ascii="Malgun Gothic" w:hAnsi="Malgun Gothic" w:cs="BrowalliaUPC"/>
          <w:b/>
          <w:color w:val="008080"/>
          <w:sz w:val="28"/>
          <w:szCs w:val="28"/>
        </w:rPr>
        <w:t xml:space="preserve">Department of Immunology and Microbiology, </w:t>
      </w:r>
    </w:p>
    <w:p>
      <w:pPr>
        <w:adjustRightInd w:val="0"/>
        <w:snapToGrid w:val="0"/>
        <w:spacing w:line="276" w:lineRule="auto"/>
        <w:jc w:val="center"/>
        <w:rPr>
          <w:rFonts w:hint="eastAsia" w:ascii="Malgun Gothic" w:hAnsi="Malgun Gothic" w:cs="BrowalliaUPC"/>
          <w:b/>
          <w:color w:val="008080"/>
          <w:sz w:val="28"/>
          <w:szCs w:val="28"/>
        </w:rPr>
      </w:pPr>
      <w:r>
        <w:rPr>
          <w:rFonts w:ascii="Malgun Gothic" w:hAnsi="Malgun Gothic" w:cs="BrowalliaUPC"/>
          <w:b/>
          <w:color w:val="008080"/>
          <w:sz w:val="28"/>
          <w:szCs w:val="28"/>
        </w:rPr>
        <w:t>Shanghai Institute of Immunology</w:t>
      </w:r>
      <w:r>
        <w:rPr>
          <w:rFonts w:hint="eastAsia" w:ascii="Malgun Gothic" w:hAnsi="Malgun Gothic" w:cs="BrowalliaUPC"/>
          <w:b/>
          <w:color w:val="008080"/>
          <w:sz w:val="28"/>
          <w:szCs w:val="28"/>
        </w:rPr>
        <w:t>,</w:t>
      </w:r>
    </w:p>
    <w:p>
      <w:pPr>
        <w:adjustRightInd w:val="0"/>
        <w:snapToGrid w:val="0"/>
        <w:spacing w:line="276" w:lineRule="auto"/>
        <w:jc w:val="center"/>
        <w:rPr>
          <w:rFonts w:ascii="Malgun Gothic" w:hAnsi="Malgun Gothic" w:eastAsia="Malgun Gothic" w:cs="BrowalliaUPC"/>
          <w:b/>
          <w:color w:val="800000"/>
          <w:sz w:val="28"/>
          <w:szCs w:val="28"/>
        </w:rPr>
      </w:pPr>
      <w:r>
        <w:rPr>
          <w:rFonts w:ascii="Malgun Gothic" w:hAnsi="Malgun Gothic" w:eastAsia="Malgun Gothic" w:cs="BrowalliaUPC"/>
          <w:b/>
          <w:color w:val="008080"/>
          <w:sz w:val="28"/>
          <w:szCs w:val="28"/>
        </w:rPr>
        <w:t>Shanghai Jiao Tong University School of Medicine</w:t>
      </w:r>
    </w:p>
    <w:p>
      <w:pPr>
        <w:snapToGrid w:val="0"/>
        <w:spacing w:line="276" w:lineRule="auto"/>
        <w:jc w:val="center"/>
        <w:rPr>
          <w:rFonts w:hint="eastAsia" w:ascii="Malgun Gothic" w:hAnsi="Malgun Gothic" w:cs="BrowalliaUPC"/>
          <w:b/>
          <w:color w:val="FF00FF"/>
          <w:sz w:val="28"/>
          <w:szCs w:val="28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Malgun Gothic" w:hAnsi="Malgun Gothic" w:cs="BrowalliaUPC"/>
          <w:b/>
          <w:color w:val="00B0F0"/>
          <w:sz w:val="28"/>
          <w:szCs w:val="28"/>
        </w:rPr>
      </w:pPr>
      <w:r>
        <w:rPr>
          <w:rFonts w:ascii="Malgun Gothic" w:hAnsi="Malgun Gothic" w:cs="BrowalliaUPC"/>
          <w:b/>
          <w:color w:val="00B0F0"/>
          <w:sz w:val="28"/>
          <w:szCs w:val="28"/>
        </w:rPr>
        <w:t xml:space="preserve">Jiangsu Key Laboratory of Integrated Traditional Chinese and </w:t>
      </w:r>
    </w:p>
    <w:p>
      <w:pPr>
        <w:adjustRightInd w:val="0"/>
        <w:snapToGrid w:val="0"/>
        <w:spacing w:line="276" w:lineRule="auto"/>
        <w:jc w:val="center"/>
        <w:rPr>
          <w:rFonts w:hint="eastAsia" w:ascii="Malgun Gothic" w:hAnsi="Malgun Gothic" w:cs="BrowalliaUPC"/>
          <w:b/>
          <w:color w:val="00B0F0"/>
          <w:sz w:val="28"/>
          <w:szCs w:val="28"/>
        </w:rPr>
      </w:pPr>
      <w:r>
        <w:rPr>
          <w:rFonts w:ascii="Malgun Gothic" w:hAnsi="Malgun Gothic" w:cs="BrowalliaUPC"/>
          <w:b/>
          <w:color w:val="00B0F0"/>
          <w:sz w:val="28"/>
          <w:szCs w:val="28"/>
        </w:rPr>
        <w:t xml:space="preserve">Western Medicine for Prevention and Treatment of Senile </w:t>
      </w:r>
    </w:p>
    <w:p>
      <w:pPr>
        <w:adjustRightInd w:val="0"/>
        <w:snapToGrid w:val="0"/>
        <w:spacing w:line="276" w:lineRule="auto"/>
        <w:jc w:val="center"/>
        <w:rPr>
          <w:rFonts w:hint="eastAsia" w:ascii="Malgun Gothic" w:hAnsi="Malgun Gothic" w:cs="BrowalliaUPC"/>
          <w:b/>
          <w:color w:val="00B0F0"/>
          <w:sz w:val="28"/>
          <w:szCs w:val="28"/>
        </w:rPr>
      </w:pPr>
      <w:r>
        <w:rPr>
          <w:rFonts w:hint="eastAsia" w:ascii="Malgun Gothic" w:hAnsi="Malgun Gothic" w:cs="BrowalliaUPC"/>
          <w:b/>
          <w:color w:val="00B0F0"/>
          <w:sz w:val="28"/>
          <w:szCs w:val="28"/>
        </w:rPr>
        <w:t>D</w:t>
      </w:r>
      <w:r>
        <w:rPr>
          <w:rFonts w:ascii="Malgun Gothic" w:hAnsi="Malgun Gothic" w:cs="BrowalliaUPC"/>
          <w:b/>
          <w:color w:val="00B0F0"/>
          <w:sz w:val="28"/>
          <w:szCs w:val="28"/>
        </w:rPr>
        <w:t>iseases </w:t>
      </w:r>
    </w:p>
    <w:p>
      <w:pPr>
        <w:adjustRightInd w:val="0"/>
        <w:snapToGrid w:val="0"/>
        <w:spacing w:line="276" w:lineRule="auto"/>
        <w:jc w:val="center"/>
        <w:rPr>
          <w:rFonts w:hint="eastAsia" w:ascii="Malgun Gothic" w:hAnsi="Malgun Gothic" w:cs="BrowalliaUPC"/>
          <w:b/>
          <w:color w:val="00B0F0"/>
          <w:sz w:val="28"/>
          <w:szCs w:val="28"/>
        </w:rPr>
      </w:pPr>
      <w:r>
        <w:rPr>
          <w:rFonts w:hint="eastAsia" w:ascii="Malgun Gothic" w:hAnsi="Malgun Gothic" w:cs="BrowalliaUPC"/>
          <w:b/>
          <w:color w:val="00B0F0"/>
          <w:sz w:val="28"/>
          <w:szCs w:val="28"/>
        </w:rPr>
        <w:t xml:space="preserve">Yangzhou University School of Medicine </w:t>
      </w:r>
    </w:p>
    <w:p>
      <w:pPr>
        <w:snapToGrid w:val="0"/>
        <w:spacing w:line="280" w:lineRule="exact"/>
        <w:jc w:val="center"/>
        <w:rPr>
          <w:rFonts w:hint="eastAsia" w:ascii="微软雅黑" w:hAnsi="微软雅黑" w:eastAsia="微软雅黑" w:cs="Arial"/>
          <w:b/>
          <w:sz w:val="44"/>
          <w:szCs w:val="44"/>
        </w:rPr>
      </w:pPr>
    </w:p>
    <w:p>
      <w:pPr>
        <w:snapToGrid w:val="0"/>
        <w:spacing w:line="280" w:lineRule="exact"/>
        <w:jc w:val="center"/>
        <w:rPr>
          <w:rFonts w:hint="eastAsia" w:ascii="微软雅黑" w:hAnsi="微软雅黑" w:eastAsia="微软雅黑" w:cs="Arial"/>
          <w:b/>
          <w:sz w:val="44"/>
          <w:szCs w:val="44"/>
        </w:rPr>
      </w:pPr>
    </w:p>
    <w:p>
      <w:pPr>
        <w:snapToGrid w:val="0"/>
        <w:spacing w:line="280" w:lineRule="exact"/>
        <w:jc w:val="center"/>
        <w:rPr>
          <w:rFonts w:ascii="黑体" w:eastAsia="黑体" w:cs="Arial"/>
          <w:sz w:val="22"/>
          <w:szCs w:val="21"/>
        </w:rPr>
      </w:pPr>
    </w:p>
    <w:p>
      <w:pPr>
        <w:spacing w:line="280" w:lineRule="exact"/>
        <w:rPr>
          <w:rFonts w:ascii="黑体" w:hAnsi="黑体" w:eastAsia="黑体" w:cs="Arial"/>
          <w:b/>
          <w:sz w:val="28"/>
          <w:szCs w:val="21"/>
          <w:u w:val="thick"/>
        </w:rPr>
      </w:pPr>
    </w:p>
    <w:p>
      <w:pPr>
        <w:spacing w:line="280" w:lineRule="exact"/>
        <w:rPr>
          <w:rFonts w:ascii="黑体" w:hAnsi="黑体" w:eastAsia="黑体" w:cs="Arial"/>
          <w:b/>
          <w:szCs w:val="21"/>
        </w:rPr>
      </w:pPr>
    </w:p>
    <w:p>
      <w:pPr>
        <w:snapToGrid w:val="0"/>
        <w:spacing w:after="156" w:afterLines="50" w:line="280" w:lineRule="exact"/>
        <w:jc w:val="center"/>
        <w:rPr>
          <w:rFonts w:ascii="黑体" w:hAnsi="黑体" w:eastAsia="黑体" w:cs="Arial"/>
          <w:b/>
          <w:sz w:val="28"/>
          <w:szCs w:val="21"/>
          <w:u w:val="thick"/>
        </w:rPr>
      </w:pPr>
      <w:r>
        <w:rPr>
          <w:rFonts w:ascii="Malgun Gothic" w:hAnsi="Malgun Gothic" w:eastAsia="Malgun Gothic" w:cs="Arial"/>
          <w:b/>
          <w:sz w:val="28"/>
          <w:szCs w:val="21"/>
          <w:u w:val="thick"/>
        </w:rPr>
        <w:t>Time</w:t>
      </w:r>
    </w:p>
    <w:p>
      <w:pPr>
        <w:snapToGrid w:val="0"/>
        <w:spacing w:after="156" w:afterLines="50" w:line="280" w:lineRule="exact"/>
        <w:jc w:val="center"/>
        <w:rPr>
          <w:rFonts w:ascii="Malgun Gothic" w:cs="BrowalliaUPC"/>
          <w:b/>
          <w:sz w:val="24"/>
          <w:szCs w:val="21"/>
        </w:rPr>
      </w:pPr>
      <w:r>
        <w:rPr>
          <w:rFonts w:hint="eastAsia" w:ascii="Malgun Gothic" w:cs="BrowalliaUPC"/>
          <w:b/>
          <w:sz w:val="24"/>
          <w:szCs w:val="21"/>
        </w:rPr>
        <w:t>Dec. 11-13, 2014</w:t>
      </w:r>
    </w:p>
    <w:p>
      <w:pPr>
        <w:spacing w:line="280" w:lineRule="exact"/>
        <w:rPr>
          <w:rFonts w:ascii="Arial" w:hAnsi="Arial" w:cs="Arial"/>
          <w:szCs w:val="21"/>
        </w:rPr>
      </w:pPr>
    </w:p>
    <w:p>
      <w:pPr>
        <w:spacing w:line="280" w:lineRule="exact"/>
        <w:rPr>
          <w:rFonts w:ascii="Arial" w:hAnsi="Arial" w:cs="Arial"/>
          <w:szCs w:val="21"/>
        </w:rPr>
      </w:pPr>
    </w:p>
    <w:p>
      <w:pPr>
        <w:spacing w:line="280" w:lineRule="exact"/>
        <w:rPr>
          <w:rFonts w:ascii="Arial" w:hAnsi="Arial" w:cs="Arial"/>
          <w:szCs w:val="21"/>
        </w:rPr>
      </w:pPr>
    </w:p>
    <w:p>
      <w:pPr>
        <w:spacing w:line="280" w:lineRule="exact"/>
        <w:rPr>
          <w:rFonts w:ascii="Arial" w:hAnsi="Arial" w:cs="Arial"/>
          <w:szCs w:val="21"/>
        </w:rPr>
      </w:pPr>
    </w:p>
    <w:p>
      <w:pPr>
        <w:snapToGrid w:val="0"/>
        <w:spacing w:after="156" w:afterLines="50" w:line="280" w:lineRule="exact"/>
        <w:jc w:val="center"/>
        <w:rPr>
          <w:rFonts w:ascii="Arial" w:hAnsi="Arial" w:cs="Arial"/>
          <w:b/>
          <w:szCs w:val="21"/>
          <w:u w:val="thick"/>
        </w:rPr>
      </w:pPr>
      <w:r>
        <w:rPr>
          <w:rFonts w:ascii="Malgun Gothic" w:hAnsi="Malgun Gothic" w:eastAsia="Malgun Gothic" w:cs="Arial"/>
          <w:b/>
          <w:sz w:val="28"/>
          <w:szCs w:val="21"/>
          <w:u w:val="thick"/>
        </w:rPr>
        <w:t>Venue</w:t>
      </w:r>
    </w:p>
    <w:p>
      <w:pPr>
        <w:snapToGrid w:val="0"/>
        <w:spacing w:after="156" w:afterLines="50" w:line="280" w:lineRule="exact"/>
        <w:jc w:val="center"/>
        <w:rPr>
          <w:rFonts w:hint="eastAsia" w:ascii="Malgun Gothic" w:hAnsi="Malgun Gothic" w:eastAsia="Malgun Gothic" w:cs="Arial"/>
          <w:b/>
          <w:sz w:val="28"/>
          <w:szCs w:val="21"/>
        </w:rPr>
      </w:pPr>
      <w:r>
        <w:rPr>
          <w:rFonts w:hint="eastAsia" w:ascii="Malgun Gothic" w:hAnsi="Malgun Gothic" w:eastAsia="Malgun Gothic" w:cs="Arial"/>
          <w:b/>
          <w:sz w:val="28"/>
          <w:szCs w:val="21"/>
        </w:rPr>
        <w:t>Yangzhou，Jiangsu Province</w:t>
      </w:r>
    </w:p>
    <w:p>
      <w:pPr>
        <w:snapToGrid w:val="0"/>
        <w:spacing w:after="156" w:afterLines="50" w:line="280" w:lineRule="exact"/>
        <w:jc w:val="center"/>
        <w:rPr>
          <w:rFonts w:hint="eastAsia" w:ascii="Malgun Gothic" w:hAnsi="Malgun Gothic" w:eastAsia="Malgun Gothic" w:cs="Arial"/>
          <w:b/>
          <w:sz w:val="28"/>
          <w:szCs w:val="21"/>
        </w:rPr>
      </w:pPr>
    </w:p>
    <w:p>
      <w:pPr>
        <w:snapToGrid w:val="0"/>
        <w:spacing w:after="156" w:afterLines="50" w:line="460" w:lineRule="exact"/>
        <w:jc w:val="center"/>
        <w:rPr>
          <w:rFonts w:hint="eastAsia" w:ascii="微软雅黑" w:hAnsi="微软雅黑" w:eastAsia="微软雅黑" w:cs="Arial"/>
          <w:b/>
          <w:sz w:val="44"/>
          <w:szCs w:val="44"/>
        </w:rPr>
      </w:pPr>
    </w:p>
    <w:p>
      <w:pPr>
        <w:snapToGrid w:val="0"/>
        <w:spacing w:after="156" w:afterLines="50" w:line="460" w:lineRule="exact"/>
        <w:jc w:val="center"/>
        <w:rPr>
          <w:rFonts w:ascii="微软雅黑" w:hAnsi="微软雅黑" w:eastAsia="微软雅黑" w:cs="Arial"/>
          <w:b/>
          <w:sz w:val="44"/>
          <w:szCs w:val="44"/>
        </w:rPr>
      </w:pPr>
      <w:r>
        <w:rPr>
          <w:rFonts w:hint="eastAsia" w:ascii="微软雅黑" w:hAnsi="微软雅黑" w:eastAsia="微软雅黑" w:cs="Arial"/>
          <w:b/>
          <w:sz w:val="44"/>
          <w:szCs w:val="44"/>
        </w:rPr>
        <w:t>Program</w:t>
      </w:r>
    </w:p>
    <w:tbl>
      <w:tblPr>
        <w:tblStyle w:val="3"/>
        <w:tblW w:w="852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7185"/>
      </w:tblGrid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22" w:type="dxa"/>
            <w:gridSpan w:val="2"/>
            <w:shd w:val="clear" w:color="auto" w:fill="F2F2F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" w:hAnsi="Arial" w:eastAsia="黑体" w:cs="Arial"/>
                <w:b/>
                <w:color w:val="FFFFFF"/>
                <w:sz w:val="22"/>
                <w:szCs w:val="21"/>
              </w:rPr>
            </w:pPr>
            <w:r>
              <w:rPr>
                <w:rFonts w:hint="eastAsia" w:ascii="Arial" w:hAnsi="Arial" w:eastAsia="黑体" w:cs="Arial"/>
                <w:b/>
                <w:sz w:val="22"/>
                <w:szCs w:val="21"/>
              </w:rPr>
              <w:t>Thursday, December 11</w:t>
            </w:r>
            <w:r>
              <w:rPr>
                <w:rFonts w:hint="eastAsia" w:ascii="Arial" w:hAnsi="Arial" w:eastAsia="黑体" w:cs="Arial"/>
                <w:b/>
                <w:sz w:val="22"/>
                <w:szCs w:val="21"/>
                <w:vertAlign w:val="superscript"/>
              </w:rPr>
              <w:t>th</w:t>
            </w:r>
            <w:r>
              <w:rPr>
                <w:rFonts w:hint="eastAsia" w:ascii="Arial" w:hAnsi="Arial" w:eastAsia="黑体" w:cs="Arial"/>
                <w:b/>
                <w:sz w:val="22"/>
                <w:szCs w:val="21"/>
              </w:rPr>
              <w:t xml:space="preserve"> /</w:t>
            </w:r>
            <w:r>
              <w:rPr>
                <w:rFonts w:ascii="Arial" w:hAnsi="Arial" w:eastAsia="黑体" w:cs="Arial"/>
                <w:b/>
                <w:sz w:val="22"/>
                <w:szCs w:val="21"/>
              </w:rPr>
              <w:t>201</w:t>
            </w:r>
            <w:r>
              <w:rPr>
                <w:rFonts w:hint="eastAsia" w:ascii="Arial" w:hAnsi="Arial" w:eastAsia="黑体" w:cs="Arial"/>
                <w:b/>
                <w:sz w:val="22"/>
                <w:szCs w:val="21"/>
              </w:rPr>
              <w:t>4</w:t>
            </w:r>
            <w:r>
              <w:rPr>
                <w:rFonts w:ascii="Arial" w:hAnsi="Arial" w:eastAsia="黑体" w:cs="Arial"/>
                <w:b/>
                <w:color w:val="FFFFFF"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cs="Arial Unicode MS"/>
                <w:sz w:val="20"/>
                <w:szCs w:val="21"/>
              </w:rPr>
            </w:pPr>
            <w:r>
              <w:rPr>
                <w:rFonts w:hint="eastAsia" w:ascii="Arial Unicode MS" w:hAnsi="Arial Unicode MS" w:cs="Arial Unicode MS"/>
                <w:sz w:val="20"/>
                <w:szCs w:val="21"/>
              </w:rPr>
              <w:t>13</w:t>
            </w:r>
            <w:r>
              <w:rPr>
                <w:rFonts w:ascii="Arial Unicode MS" w:hAnsi="Arial Unicode MS" w:eastAsia="Arial Unicode MS" w:cs="Arial Unicode MS"/>
                <w:sz w:val="20"/>
                <w:szCs w:val="21"/>
              </w:rPr>
              <w:t>:</w:t>
            </w:r>
            <w:r>
              <w:rPr>
                <w:rFonts w:hint="eastAsia" w:ascii="Arial Unicode MS" w:hAnsi="Arial Unicode MS" w:cs="Arial Unicode MS"/>
                <w:sz w:val="20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 xml:space="preserve">Departure </w:t>
            </w:r>
            <w:r>
              <w:rPr>
                <w:rFonts w:ascii="Arial Unicode MS" w:hAnsi="Arial Unicode MS" w:eastAsia="Arial Unicode MS" w:cs="Arial Unicode MS"/>
                <w:b/>
                <w:szCs w:val="21"/>
              </w:rPr>
              <w:t>from Shanghai to Yangzhou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 w:val="20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 w:val="20"/>
                <w:szCs w:val="21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z w:val="20"/>
                <w:szCs w:val="21"/>
              </w:rPr>
              <w:t>9</w:t>
            </w:r>
            <w:r>
              <w:rPr>
                <w:rFonts w:ascii="Arial Unicode MS" w:hAnsi="Arial Unicode MS" w:eastAsia="Arial Unicode MS" w:cs="Arial Unicode MS"/>
                <w:sz w:val="20"/>
                <w:szCs w:val="21"/>
              </w:rPr>
              <w:t>:00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Welcome and introduction, Dinner</w:t>
            </w:r>
            <w:r>
              <w:rPr>
                <w:rFonts w:hint="eastAsia" w:ascii="华文楷体" w:hAnsi="华文楷体" w:eastAsia="华文楷体" w:cs="Arial"/>
                <w:b/>
                <w:color w:val="404040"/>
                <w:sz w:val="24"/>
                <w:szCs w:val="21"/>
              </w:rPr>
              <w:t xml:space="preserve"> 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22" w:type="dxa"/>
            <w:gridSpan w:val="2"/>
            <w:shd w:val="clear" w:color="auto" w:fill="4F6228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" w:hAnsi="Arial" w:eastAsia="黑体" w:cs="Arial"/>
                <w:b/>
                <w:color w:val="FFFFFF"/>
                <w:sz w:val="24"/>
                <w:szCs w:val="21"/>
              </w:rPr>
            </w:pPr>
            <w:r>
              <w:rPr>
                <w:rFonts w:hint="eastAsia" w:ascii="Arial" w:hAnsi="Arial" w:eastAsia="黑体" w:cs="Arial"/>
                <w:b/>
                <w:color w:val="FFFFFF"/>
                <w:sz w:val="22"/>
                <w:szCs w:val="21"/>
              </w:rPr>
              <w:t>Friday, December 12</w:t>
            </w:r>
            <w:r>
              <w:rPr>
                <w:rFonts w:hint="eastAsia" w:ascii="Arial" w:hAnsi="Arial" w:eastAsia="黑体" w:cs="Arial"/>
                <w:b/>
                <w:color w:val="FFFFFF"/>
                <w:sz w:val="22"/>
                <w:szCs w:val="21"/>
                <w:vertAlign w:val="superscript"/>
              </w:rPr>
              <w:t>th</w:t>
            </w:r>
            <w:r>
              <w:rPr>
                <w:rFonts w:hint="eastAsia" w:ascii="Arial" w:hAnsi="Arial" w:eastAsia="黑体" w:cs="Arial"/>
                <w:b/>
                <w:color w:val="FFFFFF"/>
                <w:sz w:val="22"/>
                <w:szCs w:val="21"/>
              </w:rPr>
              <w:t xml:space="preserve"> /2014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7:50-8:00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rPr>
                <w:rFonts w:ascii="Arial" w:hAnsi="Arial" w:cs="Arial"/>
                <w:b/>
                <w:i/>
                <w:szCs w:val="21"/>
              </w:rPr>
            </w:pPr>
            <w:r>
              <w:rPr>
                <w:rFonts w:hint="eastAsia" w:ascii="Arial" w:hAnsi="Arial" w:cs="Arial"/>
                <w:b/>
                <w:i/>
                <w:szCs w:val="21"/>
              </w:rPr>
              <w:t>Poster setup, Congress room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8: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00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-8: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15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Ope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ning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 xml:space="preserve">Remarks,   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Chair：Bing Su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8: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15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8:55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Keynote Speaker: Xiaolong Liu</w:t>
            </w:r>
          </w:p>
          <w:p>
            <w:pPr>
              <w:snapToGrid w:val="0"/>
              <w:spacing w:line="3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T cell development and function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 xml:space="preserve"> </w:t>
            </w:r>
            <w:r>
              <w:rPr>
                <w:rFonts w:hint="eastAsia" w:ascii="华文楷体" w:hAnsi="华文楷体" w:eastAsia="华文楷体" w:cs="Arial"/>
                <w:color w:val="404040"/>
                <w:sz w:val="24"/>
                <w:szCs w:val="21"/>
              </w:rPr>
              <w:t xml:space="preserve">     </w:t>
            </w:r>
            <w:r>
              <w:rPr>
                <w:rFonts w:hint="eastAsia" w:ascii="华文楷体" w:hAnsi="华文楷体" w:eastAsia="华文楷体" w:cs="Arial"/>
                <w:b/>
                <w:color w:val="404040"/>
                <w:sz w:val="24"/>
                <w:szCs w:val="2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Chair: Bing Su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楷体" w:hAnsi="华文楷体" w:eastAsia="华文楷体" w:cs="Arial"/>
                <w:b/>
                <w:color w:val="404040"/>
                <w:sz w:val="24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Session 1   Chair:  Weijuan Gong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8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55-9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20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Xiaoxia Li</w:t>
            </w:r>
          </w:p>
          <w:p>
            <w:pPr>
              <w:snapToGrid w:val="0"/>
              <w:spacing w:line="3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IL-17 signaling in autoimmune and cancer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9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20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9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45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Jianshe Yan</w:t>
            </w:r>
          </w:p>
          <w:p>
            <w:pPr>
              <w:snapToGrid w:val="0"/>
              <w:spacing w:line="3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E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LMO1 plays a conserved role in neutrophil migration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9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45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10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10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Duonan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Yu</w:t>
            </w:r>
          </w:p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Loss of Identity of B-lymphoma Cells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i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10</w:t>
            </w: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10</w:t>
            </w: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-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10:25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i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Tea  break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2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i/>
                <w:sz w:val="20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Session 2   Chair: Zizhen Kang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10:25-10:50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Florent Ginhoux</w:t>
            </w:r>
          </w:p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Dendritic cell and Macrophage Ontogeny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10:50-11:15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Gonghua Huang</w:t>
            </w:r>
          </w:p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p38</w:t>
            </w:r>
            <w:r>
              <w:rPr>
                <w:rFonts w:ascii="Arial Unicode MS" w:hAnsi="Arial Unicode MS" w:eastAsia="Arial Unicode MS" w:cs="Arial Unicode MS"/>
                <w:szCs w:val="21"/>
              </w:rPr>
              <w:sym w:font="Symbol" w:char="F061"/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/MKP-1 signaling axis in dendritic cells programs T cell fates and immune functions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11:15-11:40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Yufeng Yao</w:t>
            </w:r>
          </w:p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Reversible lysine acetylation of DnaA coordinates DNA replication initiation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11:40-12:05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Chuanxin Hang</w:t>
            </w:r>
          </w:p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Mechanism of action of the transcriptional repressor BCL6 in B-cells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i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12</w:t>
            </w: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05</w:t>
            </w: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-1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3</w:t>
            </w: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i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 xml:space="preserve"> Lunch 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3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00-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zCs w:val="21"/>
                <w:vertAlign w:val="superscript"/>
              </w:rPr>
              <w:t>st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 xml:space="preserve"> Poster Session 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b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Session 3   Chair: Hongling Wang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00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-1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25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Shaocong Sun</w:t>
            </w:r>
          </w:p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Control of inflammatory TLR signaling in macrophages: a tale of two TRAF members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25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-1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50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Xiulong Xu</w:t>
            </w:r>
          </w:p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Mechanisms of action of leflunomide:  an old wine in new bottles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15:50-16:15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Zhaojun Wang</w:t>
            </w:r>
          </w:p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Schistosoma japnonicum Egg Specific Protein SjE16.7 Recruits Neutrophils And Induces Inflammatory Hepatic Granuloma Initiation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i/>
                <w:szCs w:val="21"/>
              </w:rPr>
            </w:pP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6</w:t>
            </w: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15</w:t>
            </w: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-1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6</w:t>
            </w:r>
            <w:r>
              <w:rPr>
                <w:rFonts w:ascii="Arial Unicode MS" w:hAnsi="Arial Unicode MS" w:eastAsia="Arial Unicode MS" w:cs="Arial Unicode MS"/>
                <w:i/>
                <w:szCs w:val="21"/>
              </w:rPr>
              <w:t>:</w:t>
            </w: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30</w:t>
            </w:r>
          </w:p>
        </w:tc>
        <w:tc>
          <w:tcPr>
            <w:tcW w:w="7185" w:type="dxa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i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Tea  break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2"/>
            <w:tcBorders>
              <w:bottom w:val="single" w:color="BFBFBF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华文楷体" w:hAnsi="华文楷体" w:eastAsia="华文楷体" w:cs="Arial"/>
                <w:b/>
                <w:i/>
                <w:color w:val="404040"/>
                <w:sz w:val="24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Session 4   Chair: Yufeng Yao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16:30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16:55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Ningli Li</w:t>
            </w:r>
          </w:p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Cyr61/CCN1: a novel pro-inflammatory factor in rheumatoid arthritis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16:55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17:20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Congfeng Xu</w:t>
            </w:r>
          </w:p>
          <w:p>
            <w:pPr>
              <w:snapToGrid w:val="0"/>
              <w:spacing w:line="360" w:lineRule="exact"/>
              <w:jc w:val="lef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Innate immune signaling and autophagy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17:20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-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>18:30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zCs w:val="21"/>
                <w:vertAlign w:val="superscript"/>
              </w:rPr>
              <w:t>nd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 xml:space="preserve"> Poster Session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eastAsia="Arial Unicode MS" w:cs="Arial Unicode MS"/>
                <w:i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19:00-21:00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rPr>
                <w:rFonts w:ascii="Arial Unicode MS" w:hAnsi="Arial Unicode MS" w:eastAsia="Arial Unicode MS" w:cs="Arial Unicode MS"/>
                <w:i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i/>
                <w:szCs w:val="21"/>
              </w:rPr>
              <w:t>Dinner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" w:hAnsi="Arial" w:eastAsia="黑体" w:cs="Arial"/>
                <w:b/>
                <w:sz w:val="22"/>
                <w:szCs w:val="21"/>
              </w:rPr>
            </w:pPr>
            <w:r>
              <w:rPr>
                <w:rFonts w:hint="eastAsia" w:ascii="Arial" w:hAnsi="Arial" w:eastAsia="黑体" w:cs="Arial"/>
                <w:b/>
                <w:sz w:val="22"/>
                <w:szCs w:val="21"/>
              </w:rPr>
              <w:t>Saturday, December 13</w:t>
            </w:r>
            <w:r>
              <w:rPr>
                <w:rFonts w:hint="eastAsia" w:ascii="Arial" w:hAnsi="Arial" w:eastAsia="黑体" w:cs="Arial"/>
                <w:b/>
                <w:sz w:val="22"/>
                <w:szCs w:val="21"/>
                <w:vertAlign w:val="superscript"/>
              </w:rPr>
              <w:t>th</w:t>
            </w:r>
            <w:r>
              <w:rPr>
                <w:rFonts w:hint="eastAsia" w:ascii="Arial" w:hAnsi="Arial" w:eastAsia="黑体" w:cs="Arial"/>
                <w:b/>
                <w:sz w:val="22"/>
                <w:szCs w:val="21"/>
              </w:rPr>
              <w:t xml:space="preserve"> /</w:t>
            </w:r>
            <w:r>
              <w:rPr>
                <w:rFonts w:ascii="Arial" w:hAnsi="Arial" w:eastAsia="黑体" w:cs="Arial"/>
                <w:b/>
                <w:sz w:val="22"/>
                <w:szCs w:val="21"/>
              </w:rPr>
              <w:t>201</w:t>
            </w:r>
            <w:r>
              <w:rPr>
                <w:rFonts w:hint="eastAsia" w:ascii="Arial" w:hAnsi="Arial" w:eastAsia="黑体" w:cs="Arial"/>
                <w:b/>
                <w:sz w:val="22"/>
                <w:szCs w:val="21"/>
              </w:rPr>
              <w:t>4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cs="Arial Unicode MS"/>
                <w:sz w:val="20"/>
                <w:szCs w:val="21"/>
              </w:rPr>
            </w:pPr>
            <w:r>
              <w:rPr>
                <w:rFonts w:hint="eastAsia" w:ascii="Arial Unicode MS" w:hAnsi="Arial Unicode MS" w:cs="Arial Unicode MS"/>
                <w:sz w:val="20"/>
                <w:szCs w:val="21"/>
              </w:rPr>
              <w:t>9:00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zCs w:val="21"/>
              </w:rPr>
              <w:t>Personal communication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Arial Unicode MS" w:hAnsi="Arial Unicode MS" w:cs="Arial Unicode MS"/>
                <w:sz w:val="20"/>
                <w:szCs w:val="21"/>
              </w:rPr>
            </w:pPr>
            <w:r>
              <w:rPr>
                <w:rFonts w:hint="eastAsia" w:ascii="Arial Unicode MS" w:hAnsi="Arial Unicode MS" w:cs="Arial Unicode MS"/>
                <w:sz w:val="20"/>
                <w:szCs w:val="21"/>
              </w:rPr>
              <w:t>13</w:t>
            </w:r>
            <w:r>
              <w:rPr>
                <w:rFonts w:ascii="Arial Unicode MS" w:hAnsi="Arial Unicode MS" w:eastAsia="Arial Unicode MS" w:cs="Arial Unicode MS"/>
                <w:sz w:val="20"/>
                <w:szCs w:val="21"/>
              </w:rPr>
              <w:t>:</w:t>
            </w:r>
            <w:r>
              <w:rPr>
                <w:rFonts w:hint="eastAsia" w:ascii="Arial Unicode MS" w:hAnsi="Arial Unicode MS" w:cs="Arial Unicode MS"/>
                <w:sz w:val="20"/>
                <w:szCs w:val="21"/>
              </w:rPr>
              <w:t>00</w:t>
            </w:r>
          </w:p>
        </w:tc>
        <w:tc>
          <w:tcPr>
            <w:tcW w:w="7185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szCs w:val="21"/>
              </w:rPr>
              <w:t xml:space="preserve">Departure </w:t>
            </w:r>
            <w:r>
              <w:rPr>
                <w:rFonts w:ascii="Arial Unicode MS" w:hAnsi="Arial Unicode MS" w:eastAsia="Arial Unicode MS" w:cs="Arial Unicode MS"/>
                <w:szCs w:val="21"/>
              </w:rPr>
              <w:t>from Yangzhou</w:t>
            </w:r>
            <w:r>
              <w:rPr>
                <w:rFonts w:hint="eastAsia" w:ascii="Arial Unicode MS" w:hAnsi="Arial Unicode MS" w:eastAsia="Arial Unicode MS" w:cs="Arial Unicode MS"/>
                <w:szCs w:val="21"/>
              </w:rPr>
              <w:t xml:space="preserve"> to Shanghai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altName w:val="Gulim"/>
    <w:panose1 w:val="020B0503020000020004"/>
    <w:charset w:val="81"/>
    <w:family w:val="auto"/>
    <w:pitch w:val="default"/>
    <w:sig w:usb0="900002AF" w:usb1="09D77CFB" w:usb2="00000012" w:usb3="00000000" w:csb0="00080001" w:csb1="00000000"/>
  </w:font>
  <w:font w:name="BrowalliaUPC">
    <w:altName w:val="Microsoft Sans Serif"/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Arial Unicode MS">
    <w:altName w:val="宋体"/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F71BF"/>
    <w:rsid w:val="004529C6"/>
    <w:rsid w:val="00A40FF2"/>
    <w:rsid w:val="00D55F23"/>
    <w:rsid w:val="00E77127"/>
    <w:rsid w:val="00EF71BF"/>
    <w:rsid w:val="026A7635"/>
    <w:rsid w:val="22586717"/>
    <w:rsid w:val="31C02D3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1533</Characters>
  <Lines>12</Lines>
  <Paragraphs>3</Paragraphs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2014-12-08T08:32:00Z</dcterms:created>
  <dc:creator>dell</dc:creator>
  <cp:lastModifiedBy>Administrator</cp:lastModifiedBy>
  <dcterms:modified xsi:type="dcterms:W3CDTF">2014-12-08T09:17:49Z</dcterms:modified>
  <dc:title>Program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